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2C" w:rsidRDefault="0046282C">
      <w:pPr>
        <w:jc w:val="center"/>
        <w:rPr>
          <w:rFonts w:asciiTheme="minorEastAsia" w:hAnsiTheme="minorEastAsia" w:cstheme="minorEastAsia"/>
          <w:sz w:val="44"/>
          <w:szCs w:val="44"/>
        </w:rPr>
      </w:pPr>
    </w:p>
    <w:p w:rsidR="0046282C" w:rsidRDefault="0046282C">
      <w:pPr>
        <w:rPr>
          <w:rFonts w:asciiTheme="minorEastAsia" w:hAnsiTheme="minorEastAsia" w:cstheme="minorEastAsia"/>
          <w:sz w:val="44"/>
          <w:szCs w:val="44"/>
        </w:rPr>
      </w:pPr>
    </w:p>
    <w:p w:rsidR="0046282C" w:rsidRDefault="000A0A05">
      <w:pPr>
        <w:jc w:val="center"/>
        <w:rPr>
          <w:rFonts w:asciiTheme="minorEastAsia" w:hAnsiTheme="minorEastAsia" w:cstheme="minorEastAsia"/>
          <w:sz w:val="44"/>
          <w:szCs w:val="44"/>
        </w:rPr>
      </w:pPr>
      <w:r>
        <w:rPr>
          <w:rFonts w:asciiTheme="minorEastAsia" w:hAnsiTheme="minorEastAsia" w:cstheme="minorEastAsia" w:hint="eastAsia"/>
          <w:sz w:val="44"/>
          <w:szCs w:val="44"/>
        </w:rPr>
        <w:t>聊城市国有建设用地供后监管暂行办法</w:t>
      </w:r>
    </w:p>
    <w:p w:rsidR="0046282C" w:rsidRDefault="000A0A05">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仿宋" w:eastAsia="仿宋" w:hAnsi="仿宋" w:cs="仿宋" w:hint="eastAsia"/>
          <w:color w:val="333333"/>
          <w:sz w:val="27"/>
          <w:szCs w:val="27"/>
          <w:shd w:val="clear" w:color="auto" w:fill="FFFFFF"/>
        </w:rPr>
        <w:t>2021</w:t>
      </w:r>
      <w:r>
        <w:rPr>
          <w:rFonts w:ascii="仿宋" w:eastAsia="仿宋" w:hAnsi="仿宋" w:cs="仿宋" w:hint="eastAsia"/>
          <w:color w:val="333333"/>
          <w:sz w:val="27"/>
          <w:szCs w:val="27"/>
          <w:shd w:val="clear" w:color="auto" w:fill="FFFFFF"/>
        </w:rPr>
        <w:t>年</w:t>
      </w:r>
      <w:r>
        <w:rPr>
          <w:rFonts w:ascii="仿宋" w:eastAsia="仿宋" w:hAnsi="仿宋" w:cs="仿宋" w:hint="eastAsia"/>
          <w:color w:val="333333"/>
          <w:sz w:val="27"/>
          <w:szCs w:val="27"/>
          <w:shd w:val="clear" w:color="auto" w:fill="FFFFFF"/>
        </w:rPr>
        <w:t>12</w:t>
      </w:r>
      <w:r>
        <w:rPr>
          <w:rFonts w:ascii="仿宋" w:eastAsia="仿宋" w:hAnsi="仿宋" w:cs="仿宋" w:hint="eastAsia"/>
          <w:color w:val="333333"/>
          <w:sz w:val="27"/>
          <w:szCs w:val="27"/>
          <w:shd w:val="clear" w:color="auto" w:fill="FFFFFF"/>
        </w:rPr>
        <w:t>月</w:t>
      </w:r>
      <w:r>
        <w:rPr>
          <w:rFonts w:ascii="仿宋" w:eastAsia="仿宋" w:hAnsi="仿宋" w:cs="仿宋" w:hint="eastAsia"/>
          <w:color w:val="333333"/>
          <w:sz w:val="27"/>
          <w:szCs w:val="27"/>
          <w:shd w:val="clear" w:color="auto" w:fill="FFFFFF"/>
        </w:rPr>
        <w:t>22</w:t>
      </w:r>
      <w:r>
        <w:rPr>
          <w:rFonts w:ascii="仿宋" w:eastAsia="仿宋" w:hAnsi="仿宋" w:cs="仿宋" w:hint="eastAsia"/>
          <w:color w:val="333333"/>
          <w:sz w:val="27"/>
          <w:szCs w:val="27"/>
          <w:shd w:val="clear" w:color="auto" w:fill="FFFFFF"/>
        </w:rPr>
        <w:t>日市人民政府第</w:t>
      </w:r>
      <w:r>
        <w:rPr>
          <w:rFonts w:ascii="仿宋" w:eastAsia="仿宋" w:hAnsi="仿宋" w:cs="仿宋" w:hint="eastAsia"/>
          <w:color w:val="333333"/>
          <w:sz w:val="27"/>
          <w:szCs w:val="27"/>
          <w:shd w:val="clear" w:color="auto" w:fill="FFFFFF"/>
        </w:rPr>
        <w:t>121</w:t>
      </w:r>
      <w:r>
        <w:rPr>
          <w:rFonts w:ascii="仿宋" w:eastAsia="仿宋" w:hAnsi="仿宋" w:cs="仿宋" w:hint="eastAsia"/>
          <w:color w:val="333333"/>
          <w:sz w:val="27"/>
          <w:szCs w:val="27"/>
          <w:shd w:val="clear" w:color="auto" w:fill="FFFFFF"/>
        </w:rPr>
        <w:t>次常务会议审议通过</w:t>
      </w:r>
      <w:r>
        <w:rPr>
          <w:rFonts w:ascii="仿宋" w:eastAsia="仿宋" w:hAnsi="仿宋" w:cs="仿宋" w:hint="eastAsia"/>
          <w:color w:val="333333"/>
          <w:sz w:val="27"/>
          <w:szCs w:val="27"/>
          <w:shd w:val="clear" w:color="auto" w:fill="FFFFFF"/>
        </w:rPr>
        <w:t>聊城市人民政府令</w:t>
      </w:r>
      <w:r>
        <w:rPr>
          <w:rFonts w:ascii="仿宋" w:eastAsia="仿宋" w:hAnsi="仿宋" w:cs="仿宋" w:hint="eastAsia"/>
          <w:color w:val="333333"/>
          <w:sz w:val="27"/>
          <w:szCs w:val="27"/>
          <w:shd w:val="clear" w:color="auto" w:fill="FFFFFF"/>
        </w:rPr>
        <w:t>42</w:t>
      </w:r>
      <w:r>
        <w:rPr>
          <w:rFonts w:ascii="仿宋" w:eastAsia="仿宋" w:hAnsi="仿宋" w:cs="仿宋" w:hint="eastAsia"/>
          <w:color w:val="333333"/>
          <w:sz w:val="27"/>
          <w:szCs w:val="27"/>
          <w:shd w:val="clear" w:color="auto" w:fill="FFFFFF"/>
        </w:rPr>
        <w:t>号</w:t>
      </w:r>
      <w:bookmarkStart w:id="0" w:name="_GoBack"/>
      <w:bookmarkEnd w:id="0"/>
      <w:r>
        <w:rPr>
          <w:rFonts w:ascii="仿宋" w:eastAsia="仿宋" w:hAnsi="仿宋" w:cs="仿宋" w:hint="eastAsia"/>
          <w:color w:val="333333"/>
          <w:sz w:val="27"/>
          <w:szCs w:val="27"/>
          <w:shd w:val="clear" w:color="auto" w:fill="FFFFFF"/>
        </w:rPr>
        <w:t>公布，自</w:t>
      </w:r>
      <w:r>
        <w:rPr>
          <w:rFonts w:ascii="仿宋" w:eastAsia="仿宋" w:hAnsi="仿宋" w:cs="仿宋" w:hint="eastAsia"/>
          <w:color w:val="333333"/>
          <w:sz w:val="27"/>
          <w:szCs w:val="27"/>
          <w:shd w:val="clear" w:color="auto" w:fill="FFFFFF"/>
        </w:rPr>
        <w:t>2022</w:t>
      </w:r>
      <w:r>
        <w:rPr>
          <w:rFonts w:ascii="仿宋" w:eastAsia="仿宋" w:hAnsi="仿宋" w:cs="仿宋" w:hint="eastAsia"/>
          <w:color w:val="333333"/>
          <w:sz w:val="27"/>
          <w:szCs w:val="27"/>
          <w:shd w:val="clear" w:color="auto" w:fill="FFFFFF"/>
        </w:rPr>
        <w:t>年３月１日起施行。</w:t>
      </w:r>
      <w:r>
        <w:rPr>
          <w:rFonts w:ascii="楷体_GB2312" w:eastAsia="楷体_GB2312" w:hAnsi="楷体_GB2312" w:cs="楷体_GB2312" w:hint="eastAsia"/>
          <w:color w:val="333333"/>
          <w:sz w:val="32"/>
          <w:szCs w:val="32"/>
          <w:shd w:val="clear" w:color="auto" w:fill="FFFFFF"/>
        </w:rPr>
        <w:t>)</w:t>
      </w:r>
    </w:p>
    <w:p w:rsidR="0046282C" w:rsidRDefault="0046282C">
      <w:pPr>
        <w:rPr>
          <w:rFonts w:ascii="仿宋" w:eastAsia="仿宋" w:hAnsi="仿宋" w:cs="仿宋"/>
          <w:sz w:val="32"/>
          <w:szCs w:val="32"/>
        </w:rPr>
      </w:pP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第一条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为了加强国有建设用地供后监管，促进土地及时有效开发利用，提高节约集约用地水平，根据《中华人民共和国土地管理法》等法律法规，结合本市实际，制定本办法。</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第二条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本市行政区域内国有建设用地供后监管，适用本办法。</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第三条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本办法所称国有建设用地供后监管，是指自然资源和规划等行政主管部门，依照法律法规和国有建设用地批准文件、划拨决定书的规定，国有建设用地有偿使用合同、产业项目履约监管协议的约定，对已供国有建设用地使用情况进行监督管理，履行法定职责的活动。</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第四条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人民政府领导辖区内国有建设用地供后监管工作，可以根据工作需要建立议事协调机制，对辖区内国有建设用地供后监管重大事项统筹协调。</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lastRenderedPageBreak/>
        <w:t>第五条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市自然资源和规划主管部门负责市辖区国有建设用地供后开发建设监管工作，并对全市国有建设用地供后开发建设监管工作进行监督和</w:t>
      </w:r>
      <w:r>
        <w:rPr>
          <w:rFonts w:ascii="仿宋" w:eastAsia="仿宋" w:hAnsi="仿宋" w:cs="仿宋" w:hint="eastAsia"/>
          <w:color w:val="333333"/>
          <w:kern w:val="0"/>
          <w:sz w:val="32"/>
          <w:szCs w:val="32"/>
          <w:shd w:val="clear" w:color="auto" w:fill="FFFFFF"/>
          <w:lang w:bidi="ar"/>
        </w:rPr>
        <w:t>指导。县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自然资源和规划主管部门负责本行政区域内国有建设用地供后开发建设监管工作。市、县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住房和城乡建设主管部门负责按照房地产开发项目建设条件意见书规定的建设条件实施房地产开发用地供后开发经营监管工作。市、县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审计机关依照法律规定的职权和程序对国有建设用地供后监管情况进行审计监督。</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第六条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人民政府与项目建设单位签订产业项目履约监管协议的，县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人民政府及其相关部门按照约定的产业要求，对项目用地效益进行监督管理。县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发展改革主管部门负责投资强度、单位能耗用地效益监测监管</w:t>
      </w:r>
      <w:r>
        <w:rPr>
          <w:rFonts w:ascii="仿宋" w:eastAsia="仿宋" w:hAnsi="仿宋" w:cs="仿宋" w:hint="eastAsia"/>
          <w:color w:val="333333"/>
          <w:kern w:val="0"/>
          <w:sz w:val="32"/>
          <w:szCs w:val="32"/>
          <w:shd w:val="clear" w:color="auto" w:fill="FFFFFF"/>
          <w:lang w:bidi="ar"/>
        </w:rPr>
        <w:t>工作。</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工业和信息化主管部门负责工业用地亩均产值或者销售收入用地效益监测工作。县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生态环境主管部门负责单位主要污染物排放用地效益监测监管工作。</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第七条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人民政府应当将国有建设用地供后监管工作经费纳入财政预算，保障国有建设用地供后监管工作的开展。</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第八条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国有建设用地供后监管的主要内容</w:t>
      </w:r>
      <w:r>
        <w:rPr>
          <w:rFonts w:ascii="仿宋" w:eastAsia="仿宋" w:hAnsi="仿宋" w:cs="仿宋" w:hint="eastAsia"/>
          <w:color w:val="333333"/>
          <w:kern w:val="0"/>
          <w:sz w:val="32"/>
          <w:szCs w:val="32"/>
          <w:shd w:val="clear" w:color="auto" w:fill="FFFFFF"/>
          <w:lang w:bidi="ar"/>
        </w:rPr>
        <w:t xml:space="preserve">: </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lastRenderedPageBreak/>
        <w:t>(</w:t>
      </w:r>
      <w:proofErr w:type="gramStart"/>
      <w:r>
        <w:rPr>
          <w:rFonts w:ascii="仿宋" w:eastAsia="仿宋" w:hAnsi="仿宋" w:cs="仿宋" w:hint="eastAsia"/>
          <w:color w:val="333333"/>
          <w:kern w:val="0"/>
          <w:sz w:val="32"/>
          <w:szCs w:val="32"/>
          <w:shd w:val="clear" w:color="auto" w:fill="FFFFFF"/>
          <w:lang w:bidi="ar"/>
        </w:rPr>
        <w:t>一</w:t>
      </w:r>
      <w:proofErr w:type="gramEnd"/>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按合同约定缴纳土地出让金或者租金情况；</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二</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按宗地平面</w:t>
      </w:r>
      <w:proofErr w:type="gramStart"/>
      <w:r>
        <w:rPr>
          <w:rFonts w:ascii="仿宋" w:eastAsia="仿宋" w:hAnsi="仿宋" w:cs="仿宋" w:hint="eastAsia"/>
          <w:color w:val="333333"/>
          <w:kern w:val="0"/>
          <w:sz w:val="32"/>
          <w:szCs w:val="32"/>
          <w:shd w:val="clear" w:color="auto" w:fill="FFFFFF"/>
          <w:lang w:bidi="ar"/>
        </w:rPr>
        <w:t>界址图</w:t>
      </w:r>
      <w:proofErr w:type="gramEnd"/>
      <w:r>
        <w:rPr>
          <w:rFonts w:ascii="仿宋" w:eastAsia="仿宋" w:hAnsi="仿宋" w:cs="仿宋" w:hint="eastAsia"/>
          <w:color w:val="333333"/>
          <w:kern w:val="0"/>
          <w:sz w:val="32"/>
          <w:szCs w:val="32"/>
          <w:shd w:val="clear" w:color="auto" w:fill="FFFFFF"/>
          <w:lang w:bidi="ar"/>
        </w:rPr>
        <w:t>使用土地情况；</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三</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按规定土地用途、面积、容积率等规划条件进行建设情况</w:t>
      </w:r>
      <w:r>
        <w:rPr>
          <w:rFonts w:ascii="仿宋" w:eastAsia="仿宋" w:hAnsi="仿宋" w:cs="仿宋" w:hint="eastAsia"/>
          <w:color w:val="333333"/>
          <w:kern w:val="0"/>
          <w:sz w:val="32"/>
          <w:szCs w:val="32"/>
          <w:shd w:val="clear" w:color="auto" w:fill="FFFFFF"/>
          <w:lang w:bidi="ar"/>
        </w:rPr>
        <w:t>;</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四</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按约定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规定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日期开工、竣工，以及有</w:t>
      </w:r>
      <w:r>
        <w:rPr>
          <w:rFonts w:ascii="仿宋" w:eastAsia="仿宋" w:hAnsi="仿宋" w:cs="仿宋" w:hint="eastAsia"/>
          <w:color w:val="333333"/>
          <w:kern w:val="0"/>
          <w:sz w:val="32"/>
          <w:szCs w:val="32"/>
          <w:shd w:val="clear" w:color="auto" w:fill="FFFFFF"/>
          <w:lang w:bidi="ar"/>
        </w:rPr>
        <w:t>无土地闲置情况；</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五</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有无非法转让国有建设用地使用权情况；</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六</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按房地产开发项目建设条件意见书进行建设情况；</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七</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按产业项目履约监管协议约定内容投产达效情况；</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八</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落实土壤污染风险管控和修复要求情况；</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九</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其他需要监管的事项。</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第九条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国有建设用地批准文件、划拨决定书下发或者有偿使用合同签订后，市、县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自然资源和规划主管部门应当及时确定建设项目用地信息公示内容，提示国有建设用地使用权人在项目所在地醒目位置公示，接受社会监督。</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第十条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与国有建设用地使用权人签订国有建设用地有偿使用合同或者下发划拨决定书后，应当及时向税务机关和财政部门传递相关信息，税务机关应当及时将计征、缴款等信息传递给自然资源和规划、财政等相关部门，实现国有建设用地有偿使用收入征管信息实时共享。</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lastRenderedPageBreak/>
        <w:t>第十一条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对于合同约定或者划拨决定书规定的开工、竣工时间前三十日尚未开工、竣工的项目，市、县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自然资源和规划主管部门应当向国有建设用地使用权人下达《开工提醒书》或者《竣工提醒书》，提醒其按期开工或者竣工，同时提示其违约风险及违约处理等事宜。</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本办法所称国有建设用地开工，是指依法取得施工许可证后，需挖深基坑的项目，基坑开挖完毕</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使用桩基的项目，打入所有基础桩</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其他项目，地基施工完成三分之一。</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本办法所称国有建设用地竣工，是指完成用地范围内的建设工程，达到了法定和约定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规定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的竣工条件。</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第十二条</w:t>
      </w:r>
      <w:r>
        <w:rPr>
          <w:rFonts w:ascii="仿宋" w:eastAsia="仿宋" w:hAnsi="仿宋" w:cs="仿宋" w:hint="eastAsia"/>
          <w:b/>
          <w:bCs/>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国有建设用地使用权人因政府原因或者不可抗力，无法按时开工、竣工的，可在合同约定或者划拨决定书规定的开工、竣工日期前向市、县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自然资源和规划主管部门提出延期申请并提供证明材料。经审核属实的，由市、县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自然资源和规划主管部门与国有建设用地使用权人签订补充协议。</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第十三条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有下列情形之一的，属于因政府原因造成开工或者竣工延迟</w:t>
      </w:r>
      <w:r>
        <w:rPr>
          <w:rFonts w:ascii="仿宋" w:eastAsia="仿宋" w:hAnsi="仿宋" w:cs="仿宋" w:hint="eastAsia"/>
          <w:color w:val="333333"/>
          <w:kern w:val="0"/>
          <w:sz w:val="32"/>
          <w:szCs w:val="32"/>
          <w:shd w:val="clear" w:color="auto" w:fill="FFFFFF"/>
          <w:lang w:bidi="ar"/>
        </w:rPr>
        <w:t xml:space="preserve">: </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proofErr w:type="gramStart"/>
      <w:r>
        <w:rPr>
          <w:rFonts w:ascii="仿宋" w:eastAsia="仿宋" w:hAnsi="仿宋" w:cs="仿宋" w:hint="eastAsia"/>
          <w:color w:val="333333"/>
          <w:kern w:val="0"/>
          <w:sz w:val="32"/>
          <w:szCs w:val="32"/>
          <w:shd w:val="clear" w:color="auto" w:fill="FFFFFF"/>
          <w:lang w:bidi="ar"/>
        </w:rPr>
        <w:t>一</w:t>
      </w:r>
      <w:proofErr w:type="gramEnd"/>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未按照国有建设用地有偿使用合同约定或者划拨决定书规定的期限、条件将土地交付给国有建设用地使用权人的；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lastRenderedPageBreak/>
        <w:t>(</w:t>
      </w:r>
      <w:r>
        <w:rPr>
          <w:rFonts w:ascii="仿宋" w:eastAsia="仿宋" w:hAnsi="仿宋" w:cs="仿宋" w:hint="eastAsia"/>
          <w:color w:val="333333"/>
          <w:kern w:val="0"/>
          <w:sz w:val="32"/>
          <w:szCs w:val="32"/>
          <w:shd w:val="clear" w:color="auto" w:fill="FFFFFF"/>
          <w:lang w:bidi="ar"/>
        </w:rPr>
        <w:t>二</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政府修改国土空间规划，造成国有建设用地使用权人不能按照国有建设用地有偿使用合同约定或者划拨决定书规定的用途、规划和建设条件开发的；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三</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国家相关政策变化，需要对约定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规定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的规划和建设条件进行修改的；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四</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处置土地上相关群众信访事项等导致开工或者竣工延迟的</w:t>
      </w:r>
      <w:r>
        <w:rPr>
          <w:rFonts w:ascii="仿宋" w:eastAsia="仿宋" w:hAnsi="仿宋" w:cs="仿宋" w:hint="eastAsia"/>
          <w:color w:val="333333"/>
          <w:kern w:val="0"/>
          <w:sz w:val="32"/>
          <w:szCs w:val="32"/>
          <w:shd w:val="clear" w:color="auto" w:fill="FFFFFF"/>
          <w:lang w:bidi="ar"/>
        </w:rPr>
        <w:t>;</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五</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军事管制、文物保护等原因导致开工或者竣工延迟的；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六</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政府、政府有关部门的其他行为导致开工或者竣工延迟的。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第十四条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对于未按时达到开工、竣工标准的国有建设用地，市、县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自然资源和规划主管部门应当于约定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规定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的开工、竣工之日起三</w:t>
      </w:r>
      <w:r>
        <w:rPr>
          <w:rFonts w:ascii="仿宋" w:eastAsia="仿宋" w:hAnsi="仿宋" w:cs="仿宋" w:hint="eastAsia"/>
          <w:color w:val="333333"/>
          <w:kern w:val="0"/>
          <w:sz w:val="32"/>
          <w:szCs w:val="32"/>
          <w:shd w:val="clear" w:color="auto" w:fill="FFFFFF"/>
          <w:lang w:bidi="ar"/>
        </w:rPr>
        <w:t>十日内调查完毕，并按下列方式处置</w:t>
      </w:r>
      <w:r>
        <w:rPr>
          <w:rFonts w:ascii="仿宋" w:eastAsia="仿宋" w:hAnsi="仿宋" w:cs="仿宋" w:hint="eastAsia"/>
          <w:color w:val="333333"/>
          <w:kern w:val="0"/>
          <w:sz w:val="32"/>
          <w:szCs w:val="32"/>
          <w:shd w:val="clear" w:color="auto" w:fill="FFFFFF"/>
          <w:lang w:bidi="ar"/>
        </w:rPr>
        <w:t xml:space="preserve">: </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proofErr w:type="gramStart"/>
      <w:r>
        <w:rPr>
          <w:rFonts w:ascii="仿宋" w:eastAsia="仿宋" w:hAnsi="仿宋" w:cs="仿宋" w:hint="eastAsia"/>
          <w:color w:val="333333"/>
          <w:kern w:val="0"/>
          <w:sz w:val="32"/>
          <w:szCs w:val="32"/>
          <w:shd w:val="clear" w:color="auto" w:fill="FFFFFF"/>
          <w:lang w:bidi="ar"/>
        </w:rPr>
        <w:t>一</w:t>
      </w:r>
      <w:proofErr w:type="gramEnd"/>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因政府原因或者不可抗力造成开工、竣工延迟的，按照新约定的开工、竣工时间进行监管；</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二</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非因政府原因或者不可抗力造成开工、竣工延迟的，自然资源和规划主管部门应当及时向国有建设用地使用权人催缴违约金，经催缴后仍不缴纳的应当通过法律途径追缴。</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lastRenderedPageBreak/>
        <w:t>第十五条</w:t>
      </w:r>
      <w:r>
        <w:rPr>
          <w:rFonts w:ascii="仿宋" w:eastAsia="仿宋" w:hAnsi="仿宋" w:cs="仿宋" w:hint="eastAsia"/>
          <w:b/>
          <w:bCs/>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自然资源和规划主管部门应当对涉嫌闲置的国有建设用地及时依法调查、认定和处置，并将有关信息及时录入监测监管系统</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对于确认的闲置土地及处置结果应当通过门户网站等媒体向社会公开。</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本办法所称闲置土地，是指国有建设</w:t>
      </w:r>
      <w:r>
        <w:rPr>
          <w:rFonts w:ascii="仿宋" w:eastAsia="仿宋" w:hAnsi="仿宋" w:cs="仿宋" w:hint="eastAsia"/>
          <w:color w:val="333333"/>
          <w:kern w:val="0"/>
          <w:sz w:val="32"/>
          <w:szCs w:val="32"/>
          <w:shd w:val="clear" w:color="auto" w:fill="FFFFFF"/>
          <w:lang w:bidi="ar"/>
        </w:rPr>
        <w:t>用地使用权人超过国有建设用地有偿使用合同约定或者划拨决定书规定的动工开发日期满一年未动工开发的国有建设用地。</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已动工开发但开发建设用地面积占应动工开发建设用地总面积</w:t>
      </w:r>
      <w:proofErr w:type="gramStart"/>
      <w:r>
        <w:rPr>
          <w:rFonts w:ascii="仿宋" w:eastAsia="仿宋" w:hAnsi="仿宋" w:cs="仿宋" w:hint="eastAsia"/>
          <w:color w:val="333333"/>
          <w:kern w:val="0"/>
          <w:sz w:val="32"/>
          <w:szCs w:val="32"/>
          <w:shd w:val="clear" w:color="auto" w:fill="FFFFFF"/>
          <w:lang w:bidi="ar"/>
        </w:rPr>
        <w:t>不足三分之一</w:t>
      </w:r>
      <w:proofErr w:type="gramEnd"/>
      <w:r>
        <w:rPr>
          <w:rFonts w:ascii="仿宋" w:eastAsia="仿宋" w:hAnsi="仿宋" w:cs="仿宋" w:hint="eastAsia"/>
          <w:color w:val="333333"/>
          <w:kern w:val="0"/>
          <w:sz w:val="32"/>
          <w:szCs w:val="32"/>
          <w:shd w:val="clear" w:color="auto" w:fill="FFFFFF"/>
          <w:lang w:bidi="ar"/>
        </w:rPr>
        <w:t>或者已投资额占总投资额不足百分之二十五，中止开发建设满一年的国有建设用地，也可以认定为闲置土地。</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第十六条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应当在约定的开工、竣工时间，实际开工、竣工时间等时点以及开发建设过程中，对项目建设情况进行经常性现场核查，获取同一角度、不同时期照片，并做好记录。核查记录应当在现场核查后十个工作日内上传监测监管系统。</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第十七条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国有建设用地使用权人按照国有建设用地有偿使用合同约定或者划拨决定书规定，在项目开工、竣工时向市、县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自然资源和规划主管部门进行申报。</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lastRenderedPageBreak/>
        <w:t>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自然资源和规划主管部门应当在收到申报之日起十个工作日内组织检查核验并将检查核验资料录入监测监管系统。</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建设项目通过建</w:t>
      </w:r>
      <w:r>
        <w:rPr>
          <w:rFonts w:ascii="仿宋" w:eastAsia="仿宋" w:hAnsi="仿宋" w:cs="仿宋" w:hint="eastAsia"/>
          <w:color w:val="333333"/>
          <w:kern w:val="0"/>
          <w:sz w:val="32"/>
          <w:szCs w:val="32"/>
          <w:shd w:val="clear" w:color="auto" w:fill="FFFFFF"/>
          <w:lang w:bidi="ar"/>
        </w:rPr>
        <w:t>设工程规划核实的，不再进行国有建设用地竣工检查核验。</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第十八条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国有建设用地存在下列情形之一的，检查核验结果应为不合格</w:t>
      </w:r>
      <w:r>
        <w:rPr>
          <w:rFonts w:ascii="仿宋" w:eastAsia="仿宋" w:hAnsi="仿宋" w:cs="仿宋" w:hint="eastAsia"/>
          <w:color w:val="333333"/>
          <w:kern w:val="0"/>
          <w:sz w:val="32"/>
          <w:szCs w:val="32"/>
          <w:shd w:val="clear" w:color="auto" w:fill="FFFFFF"/>
          <w:lang w:bidi="ar"/>
        </w:rPr>
        <w:t xml:space="preserve">: </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proofErr w:type="gramStart"/>
      <w:r>
        <w:rPr>
          <w:rFonts w:ascii="仿宋" w:eastAsia="仿宋" w:hAnsi="仿宋" w:cs="仿宋" w:hint="eastAsia"/>
          <w:color w:val="333333"/>
          <w:kern w:val="0"/>
          <w:sz w:val="32"/>
          <w:szCs w:val="32"/>
          <w:shd w:val="clear" w:color="auto" w:fill="FFFFFF"/>
          <w:lang w:bidi="ar"/>
        </w:rPr>
        <w:t>一</w:t>
      </w:r>
      <w:proofErr w:type="gramEnd"/>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用地位置、使用面积与国有建设用地有偿使用合同约定、划拨决定书规定不相符的；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二</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土地闲置费、违约金等款项未足额缴纳的；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三</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存在开工、竣工违约或者土地闲置情况未经处理的；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四</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非法转让土地的；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五</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擅自改变土地用途、容积率的；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六</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存在其他违规违约用地行为的。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第十九条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国有建设用地检查核验不合格的，自然资源和规划主管部门向国有建设用地使用权人下达《国有建设用地土地核验</w:t>
      </w:r>
      <w:r>
        <w:rPr>
          <w:rFonts w:ascii="仿宋" w:eastAsia="仿宋" w:hAnsi="仿宋" w:cs="仿宋" w:hint="eastAsia"/>
          <w:color w:val="333333"/>
          <w:kern w:val="0"/>
          <w:sz w:val="32"/>
          <w:szCs w:val="32"/>
          <w:shd w:val="clear" w:color="auto" w:fill="FFFFFF"/>
          <w:lang w:bidi="ar"/>
        </w:rPr>
        <w:t>限期整改通知书》，一次性告知整改内容和要求。整改后达到检查核验条件的，可重新进行国有建设用地检查核验。</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lastRenderedPageBreak/>
        <w:t>第二十条</w:t>
      </w:r>
      <w:r>
        <w:rPr>
          <w:rFonts w:ascii="仿宋" w:eastAsia="仿宋" w:hAnsi="仿宋" w:cs="仿宋" w:hint="eastAsia"/>
          <w:b/>
          <w:bCs/>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国有建设用地使用权人违反产业项目履约监管协议的，应当按照约定承担违约责任。</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产业项目履约监管协议违约责任条款应当包括以下内容</w:t>
      </w:r>
      <w:r>
        <w:rPr>
          <w:rFonts w:ascii="仿宋" w:eastAsia="仿宋" w:hAnsi="仿宋" w:cs="仿宋" w:hint="eastAsia"/>
          <w:color w:val="333333"/>
          <w:kern w:val="0"/>
          <w:sz w:val="32"/>
          <w:szCs w:val="32"/>
          <w:shd w:val="clear" w:color="auto" w:fill="FFFFFF"/>
          <w:lang w:bidi="ar"/>
        </w:rPr>
        <w:t xml:space="preserve">: </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proofErr w:type="gramStart"/>
      <w:r>
        <w:rPr>
          <w:rFonts w:ascii="仿宋" w:eastAsia="仿宋" w:hAnsi="仿宋" w:cs="仿宋" w:hint="eastAsia"/>
          <w:color w:val="333333"/>
          <w:kern w:val="0"/>
          <w:sz w:val="32"/>
          <w:szCs w:val="32"/>
          <w:shd w:val="clear" w:color="auto" w:fill="FFFFFF"/>
          <w:lang w:bidi="ar"/>
        </w:rPr>
        <w:t>一</w:t>
      </w:r>
      <w:proofErr w:type="gramEnd"/>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未按照约定达到投资强度标准的，由县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发展改革部门依法将违约信息纳入公共信用信息平台公示；</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二</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未按照约定达到亩均产值或者销售收入标准的，县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工业和信息化部门不将其列入表彰推荐范围</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无法正常生产经营的，市、县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人民政府可协商收回全部或者部分国有建设用地使用权</w:t>
      </w:r>
      <w:r>
        <w:rPr>
          <w:rFonts w:ascii="仿宋" w:eastAsia="仿宋" w:hAnsi="仿宋" w:cs="仿宋" w:hint="eastAsia"/>
          <w:color w:val="333333"/>
          <w:kern w:val="0"/>
          <w:sz w:val="32"/>
          <w:szCs w:val="32"/>
          <w:shd w:val="clear" w:color="auto" w:fill="FFFFFF"/>
          <w:lang w:bidi="ar"/>
        </w:rPr>
        <w:t>;</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三</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未达到亩均税收标准的，国有建设用地使用权人应当按照约定支付违约金；</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四</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超过约定的单位能耗标准用能的，由县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发展改革部门责令限期治理，逾期不治理或者没有达到治理要求的，由县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发展改革部门按照约定提请执行惩罚性电价；</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五</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超过约定的单位主要污染物排放标准排放的，由县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市、区</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生态环境部门责令限期治理</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国</w:t>
      </w:r>
      <w:r>
        <w:rPr>
          <w:rFonts w:ascii="仿宋" w:eastAsia="仿宋" w:hAnsi="仿宋" w:cs="仿宋" w:hint="eastAsia"/>
          <w:color w:val="333333"/>
          <w:kern w:val="0"/>
          <w:sz w:val="32"/>
          <w:szCs w:val="32"/>
          <w:shd w:val="clear" w:color="auto" w:fill="FFFFFF"/>
          <w:lang w:bidi="ar"/>
        </w:rPr>
        <w:t>有建设用地使用权人应当按照协议约定承担违约金。</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第二十一条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自然资源和规划主管部门应当根据监测监管系统中的国有建设用地使用权人违规违约记录，分级建</w:t>
      </w:r>
      <w:r>
        <w:rPr>
          <w:rFonts w:ascii="仿宋" w:eastAsia="仿宋" w:hAnsi="仿宋" w:cs="仿宋" w:hint="eastAsia"/>
          <w:color w:val="333333"/>
          <w:kern w:val="0"/>
          <w:sz w:val="32"/>
          <w:szCs w:val="32"/>
          <w:shd w:val="clear" w:color="auto" w:fill="FFFFFF"/>
          <w:lang w:bidi="ar"/>
        </w:rPr>
        <w:lastRenderedPageBreak/>
        <w:t>立用地诚信档案。对于未按合同约定、划拨书规定的时限开工、竣工的，不及时缴纳土地出让金、租金等款项的，列入市、县</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市</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诚信档案。</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第二十二条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自然资源和规划主管部门在监督检查工作中发现违法行为的，应当依法立案查处</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属于其他部门管辖的事项，依法移交有管辖权的部门查处。</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第二十三条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负有监管职责的工作人员违反本办法规定，玩忽职守、滥用职权、徇私舞弊的，依法给</w:t>
      </w:r>
      <w:r>
        <w:rPr>
          <w:rFonts w:ascii="仿宋" w:eastAsia="仿宋" w:hAnsi="仿宋" w:cs="仿宋" w:hint="eastAsia"/>
          <w:color w:val="333333"/>
          <w:kern w:val="0"/>
          <w:sz w:val="32"/>
          <w:szCs w:val="32"/>
          <w:shd w:val="clear" w:color="auto" w:fill="FFFFFF"/>
          <w:lang w:bidi="ar"/>
        </w:rPr>
        <w:t>予处分</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构成犯罪的，依法追究刑事责任。</w:t>
      </w:r>
    </w:p>
    <w:p w:rsidR="0046282C" w:rsidRDefault="000A0A05">
      <w:pPr>
        <w:widowControl/>
        <w:ind w:firstLineChars="200" w:firstLine="640"/>
        <w:jc w:val="left"/>
        <w:rPr>
          <w:rFonts w:ascii="仿宋" w:eastAsia="仿宋" w:hAnsi="仿宋" w:cs="仿宋"/>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t>第二十四条</w:t>
      </w:r>
      <w:r>
        <w:rPr>
          <w:rFonts w:ascii="仿宋" w:eastAsia="仿宋" w:hAnsi="仿宋" w:cs="仿宋" w:hint="eastAsia"/>
          <w:b/>
          <w:bCs/>
          <w:color w:val="000000"/>
          <w:kern w:val="0"/>
          <w:sz w:val="32"/>
          <w:szCs w:val="32"/>
          <w:lang w:bidi="ar"/>
        </w:rPr>
        <w:t xml:space="preserve"> </w:t>
      </w:r>
      <w:r>
        <w:rPr>
          <w:rFonts w:ascii="仿宋" w:eastAsia="仿宋" w:hAnsi="仿宋" w:cs="仿宋" w:hint="eastAsia"/>
          <w:color w:val="333333"/>
          <w:kern w:val="0"/>
          <w:sz w:val="32"/>
          <w:szCs w:val="32"/>
          <w:shd w:val="clear" w:color="auto" w:fill="FFFFFF"/>
          <w:lang w:bidi="ar"/>
        </w:rPr>
        <w:t>茌平区在纳入市辖区管理前，按照县的相关规定执行。</w:t>
      </w:r>
    </w:p>
    <w:p w:rsidR="0046282C" w:rsidRDefault="000A0A05">
      <w:pPr>
        <w:widowControl/>
        <w:ind w:firstLineChars="200" w:firstLine="640"/>
        <w:jc w:val="left"/>
        <w:rPr>
          <w:rFonts w:ascii="仿宋" w:eastAsia="仿宋" w:hAnsi="仿宋" w:cs="仿宋"/>
          <w:color w:val="333333"/>
          <w:sz w:val="32"/>
          <w:szCs w:val="32"/>
          <w:shd w:val="clear" w:color="auto" w:fill="FFFFFF"/>
        </w:rPr>
      </w:pPr>
      <w:r>
        <w:rPr>
          <w:rFonts w:ascii="黑体" w:eastAsia="黑体" w:hAnsi="黑体" w:cs="黑体" w:hint="eastAsia"/>
          <w:color w:val="333333"/>
          <w:kern w:val="0"/>
          <w:sz w:val="32"/>
          <w:szCs w:val="32"/>
          <w:shd w:val="clear" w:color="auto" w:fill="FFFFFF"/>
          <w:lang w:bidi="ar"/>
        </w:rPr>
        <w:t>第二十五条</w:t>
      </w:r>
      <w:r>
        <w:rPr>
          <w:rFonts w:ascii="仿宋" w:eastAsia="仿宋" w:hAnsi="仿宋" w:cs="仿宋" w:hint="eastAsia"/>
          <w:b/>
          <w:bCs/>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本办法自</w:t>
      </w:r>
      <w:r>
        <w:rPr>
          <w:rFonts w:ascii="仿宋" w:eastAsia="仿宋" w:hAnsi="仿宋" w:cs="仿宋" w:hint="eastAsia"/>
          <w:color w:val="333333"/>
          <w:kern w:val="0"/>
          <w:sz w:val="32"/>
          <w:szCs w:val="32"/>
          <w:shd w:val="clear" w:color="auto" w:fill="FFFFFF"/>
          <w:lang w:bidi="ar"/>
        </w:rPr>
        <w:t>2022</w:t>
      </w:r>
      <w:r>
        <w:rPr>
          <w:rFonts w:ascii="仿宋" w:eastAsia="仿宋" w:hAnsi="仿宋" w:cs="仿宋" w:hint="eastAsia"/>
          <w:color w:val="333333"/>
          <w:kern w:val="0"/>
          <w:sz w:val="32"/>
          <w:szCs w:val="32"/>
          <w:shd w:val="clear" w:color="auto" w:fill="FFFFFF"/>
          <w:lang w:bidi="ar"/>
        </w:rPr>
        <w:t>年</w:t>
      </w:r>
      <w:r>
        <w:rPr>
          <w:rFonts w:ascii="仿宋" w:eastAsia="仿宋" w:hAnsi="仿宋" w:cs="仿宋" w:hint="eastAsia"/>
          <w:color w:val="333333"/>
          <w:kern w:val="0"/>
          <w:sz w:val="32"/>
          <w:szCs w:val="32"/>
          <w:shd w:val="clear" w:color="auto" w:fill="FFFFFF"/>
          <w:lang w:bidi="ar"/>
        </w:rPr>
        <w:t>3</w:t>
      </w:r>
      <w:r>
        <w:rPr>
          <w:rFonts w:ascii="仿宋" w:eastAsia="仿宋" w:hAnsi="仿宋" w:cs="仿宋" w:hint="eastAsia"/>
          <w:color w:val="333333"/>
          <w:kern w:val="0"/>
          <w:sz w:val="32"/>
          <w:szCs w:val="32"/>
          <w:shd w:val="clear" w:color="auto" w:fill="FFFFFF"/>
          <w:lang w:bidi="ar"/>
        </w:rPr>
        <w:t>月</w:t>
      </w:r>
      <w:r>
        <w:rPr>
          <w:rFonts w:ascii="仿宋" w:eastAsia="仿宋" w:hAnsi="仿宋" w:cs="仿宋" w:hint="eastAsia"/>
          <w:color w:val="333333"/>
          <w:kern w:val="0"/>
          <w:sz w:val="32"/>
          <w:szCs w:val="32"/>
          <w:shd w:val="clear" w:color="auto" w:fill="FFFFFF"/>
          <w:lang w:bidi="ar"/>
        </w:rPr>
        <w:t>1</w:t>
      </w:r>
      <w:r>
        <w:rPr>
          <w:rFonts w:ascii="仿宋" w:eastAsia="仿宋" w:hAnsi="仿宋" w:cs="仿宋" w:hint="eastAsia"/>
          <w:color w:val="333333"/>
          <w:kern w:val="0"/>
          <w:sz w:val="32"/>
          <w:szCs w:val="32"/>
          <w:shd w:val="clear" w:color="auto" w:fill="FFFFFF"/>
          <w:lang w:bidi="ar"/>
        </w:rPr>
        <w:t>日起施行。</w:t>
      </w:r>
    </w:p>
    <w:sectPr w:rsidR="0046282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05" w:rsidRDefault="000A0A05">
      <w:r>
        <w:separator/>
      </w:r>
    </w:p>
  </w:endnote>
  <w:endnote w:type="continuationSeparator" w:id="0">
    <w:p w:rsidR="000A0A05" w:rsidRDefault="000A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2C" w:rsidRDefault="000A0A0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282C" w:rsidRDefault="000A0A0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6282C" w:rsidRDefault="000A0A0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6282C" w:rsidRDefault="000A0A0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74D4D"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聊城市人民政府发布</w:t>
    </w:r>
    <w:r>
      <w:rPr>
        <w:rFonts w:ascii="宋体" w:eastAsia="宋体" w:hAnsi="宋体" w:cs="宋体" w:hint="eastAsia"/>
        <w:b/>
        <w:bCs/>
        <w:color w:val="005192"/>
        <w:sz w:val="28"/>
        <w:szCs w:val="44"/>
      </w:rPr>
      <w:t xml:space="preserve">     </w:t>
    </w:r>
  </w:p>
  <w:p w:rsidR="0046282C" w:rsidRDefault="0046282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05" w:rsidRDefault="000A0A05">
      <w:r>
        <w:separator/>
      </w:r>
    </w:p>
  </w:footnote>
  <w:footnote w:type="continuationSeparator" w:id="0">
    <w:p w:rsidR="000A0A05" w:rsidRDefault="000A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2C" w:rsidRDefault="000A0A0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A6D4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46282C" w:rsidRDefault="000A0A0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0A05"/>
    <w:rsid w:val="00172A27"/>
    <w:rsid w:val="0046282C"/>
    <w:rsid w:val="00E44D3E"/>
    <w:rsid w:val="019E71BD"/>
    <w:rsid w:val="046E6839"/>
    <w:rsid w:val="04B679C3"/>
    <w:rsid w:val="080F63D8"/>
    <w:rsid w:val="09341458"/>
    <w:rsid w:val="0B0912D7"/>
    <w:rsid w:val="0C724E7A"/>
    <w:rsid w:val="152D2DCA"/>
    <w:rsid w:val="18161AA8"/>
    <w:rsid w:val="1DEC284C"/>
    <w:rsid w:val="1E6523AC"/>
    <w:rsid w:val="22440422"/>
    <w:rsid w:val="31A15F24"/>
    <w:rsid w:val="3886699A"/>
    <w:rsid w:val="395347B5"/>
    <w:rsid w:val="39A232A0"/>
    <w:rsid w:val="39E745AA"/>
    <w:rsid w:val="3B5A6BBB"/>
    <w:rsid w:val="3EDA13A6"/>
    <w:rsid w:val="42F058B7"/>
    <w:rsid w:val="436109F6"/>
    <w:rsid w:val="441A38D4"/>
    <w:rsid w:val="4BC77339"/>
    <w:rsid w:val="4C9236C5"/>
    <w:rsid w:val="4D2C295F"/>
    <w:rsid w:val="505C172E"/>
    <w:rsid w:val="52F46F0B"/>
    <w:rsid w:val="53D8014D"/>
    <w:rsid w:val="55E064E0"/>
    <w:rsid w:val="572C6D10"/>
    <w:rsid w:val="5DC34279"/>
    <w:rsid w:val="608816D1"/>
    <w:rsid w:val="60EF4E7F"/>
    <w:rsid w:val="665233C1"/>
    <w:rsid w:val="6AD9688B"/>
    <w:rsid w:val="6D0E3F22"/>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9A565"/>
  <w15:docId w15:val="{91AD37D5-C534-48BF-A432-C6D81A8E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楚圣乐</cp:lastModifiedBy>
  <cp:revision>2</cp:revision>
  <cp:lastPrinted>2021-10-26T11:30:00Z</cp:lastPrinted>
  <dcterms:created xsi:type="dcterms:W3CDTF">2022-12-14T07:29:00Z</dcterms:created>
  <dcterms:modified xsi:type="dcterms:W3CDTF">2022-12-14T07:29:00Z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