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C3" w:rsidRDefault="00FF70C3">
      <w:pPr>
        <w:jc w:val="center"/>
        <w:rPr>
          <w:rFonts w:asciiTheme="minorEastAsia" w:hAnsiTheme="minorEastAsia" w:cstheme="minorEastAsia"/>
          <w:sz w:val="44"/>
          <w:szCs w:val="44"/>
        </w:rPr>
      </w:pPr>
    </w:p>
    <w:p w:rsidR="00FF70C3" w:rsidRDefault="00FF70C3">
      <w:pPr>
        <w:rPr>
          <w:rFonts w:asciiTheme="minorEastAsia" w:hAnsiTheme="minorEastAsia" w:cstheme="minorEastAsia"/>
          <w:sz w:val="44"/>
          <w:szCs w:val="44"/>
        </w:rPr>
      </w:pPr>
    </w:p>
    <w:p w:rsidR="00FF70C3" w:rsidRDefault="002A6047">
      <w:pPr>
        <w:jc w:val="center"/>
        <w:rPr>
          <w:rFonts w:asciiTheme="minorEastAsia" w:hAnsiTheme="minorEastAsia" w:cstheme="minorEastAsia"/>
          <w:sz w:val="44"/>
          <w:szCs w:val="44"/>
        </w:rPr>
      </w:pPr>
      <w:r>
        <w:rPr>
          <w:rFonts w:asciiTheme="minorEastAsia" w:hAnsiTheme="minorEastAsia" w:cstheme="minorEastAsia" w:hint="eastAsia"/>
          <w:sz w:val="44"/>
          <w:szCs w:val="44"/>
        </w:rPr>
        <w:t>聊</w:t>
      </w:r>
      <w:proofErr w:type="gramStart"/>
      <w:r>
        <w:rPr>
          <w:rFonts w:asciiTheme="minorEastAsia" w:hAnsiTheme="minorEastAsia" w:cstheme="minorEastAsia" w:hint="eastAsia"/>
          <w:sz w:val="44"/>
          <w:szCs w:val="44"/>
        </w:rPr>
        <w:t>城市城市</w:t>
      </w:r>
      <w:proofErr w:type="gramEnd"/>
      <w:r>
        <w:rPr>
          <w:rFonts w:asciiTheme="minorEastAsia" w:hAnsiTheme="minorEastAsia" w:cstheme="minorEastAsia" w:hint="eastAsia"/>
          <w:sz w:val="44"/>
          <w:szCs w:val="44"/>
        </w:rPr>
        <w:t>地下管线规划管理办法</w:t>
      </w:r>
    </w:p>
    <w:p w:rsidR="00FF70C3" w:rsidRDefault="002A6047">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Pr>
          <w:rFonts w:ascii="仿宋" w:eastAsia="仿宋" w:hAnsi="仿宋" w:cs="仿宋"/>
          <w:color w:val="333333"/>
          <w:sz w:val="27"/>
          <w:szCs w:val="27"/>
          <w:shd w:val="clear" w:color="auto" w:fill="FFFFFF"/>
        </w:rPr>
        <w:t>2018</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12</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29</w:t>
      </w:r>
      <w:r>
        <w:rPr>
          <w:rFonts w:ascii="仿宋" w:eastAsia="仿宋" w:hAnsi="仿宋" w:cs="仿宋"/>
          <w:color w:val="333333"/>
          <w:sz w:val="27"/>
          <w:szCs w:val="27"/>
          <w:shd w:val="clear" w:color="auto" w:fill="FFFFFF"/>
        </w:rPr>
        <w:t>日市人民政府第</w:t>
      </w:r>
      <w:r>
        <w:rPr>
          <w:rFonts w:ascii="仿宋" w:eastAsia="仿宋" w:hAnsi="仿宋" w:cs="仿宋"/>
          <w:color w:val="333333"/>
          <w:sz w:val="27"/>
          <w:szCs w:val="27"/>
          <w:shd w:val="clear" w:color="auto" w:fill="FFFFFF"/>
        </w:rPr>
        <w:t>41</w:t>
      </w:r>
      <w:r>
        <w:rPr>
          <w:rFonts w:ascii="仿宋" w:eastAsia="仿宋" w:hAnsi="仿宋" w:cs="仿宋"/>
          <w:color w:val="333333"/>
          <w:sz w:val="27"/>
          <w:szCs w:val="27"/>
          <w:shd w:val="clear" w:color="auto" w:fill="FFFFFF"/>
        </w:rPr>
        <w:t>次常务会议审议通过</w:t>
      </w:r>
      <w:r>
        <w:rPr>
          <w:rFonts w:ascii="仿宋" w:eastAsia="仿宋" w:hAnsi="仿宋" w:cs="仿宋" w:hint="eastAsia"/>
          <w:color w:val="333333"/>
          <w:sz w:val="27"/>
          <w:szCs w:val="27"/>
          <w:shd w:val="clear" w:color="auto" w:fill="FFFFFF"/>
        </w:rPr>
        <w:t>聊城市人民政府令</w:t>
      </w:r>
      <w:r>
        <w:rPr>
          <w:rFonts w:ascii="仿宋" w:eastAsia="仿宋" w:hAnsi="仿宋" w:cs="仿宋" w:hint="eastAsia"/>
          <w:color w:val="333333"/>
          <w:sz w:val="27"/>
          <w:szCs w:val="27"/>
          <w:shd w:val="clear" w:color="auto" w:fill="FFFFFF"/>
        </w:rPr>
        <w:t>34</w:t>
      </w:r>
      <w:r>
        <w:rPr>
          <w:rFonts w:ascii="仿宋" w:eastAsia="仿宋" w:hAnsi="仿宋" w:cs="仿宋" w:hint="eastAsia"/>
          <w:color w:val="333333"/>
          <w:sz w:val="27"/>
          <w:szCs w:val="27"/>
          <w:shd w:val="clear" w:color="auto" w:fill="FFFFFF"/>
        </w:rPr>
        <w:t>号</w:t>
      </w:r>
      <w:bookmarkStart w:id="0" w:name="_GoBack"/>
      <w:bookmarkEnd w:id="0"/>
      <w:r>
        <w:rPr>
          <w:rFonts w:ascii="仿宋" w:eastAsia="仿宋" w:hAnsi="仿宋" w:cs="仿宋"/>
          <w:color w:val="333333"/>
          <w:sz w:val="27"/>
          <w:szCs w:val="27"/>
          <w:shd w:val="clear" w:color="auto" w:fill="FFFFFF"/>
        </w:rPr>
        <w:t>公布，自</w:t>
      </w:r>
      <w:r>
        <w:rPr>
          <w:rFonts w:ascii="仿宋" w:eastAsia="仿宋" w:hAnsi="仿宋" w:cs="仿宋"/>
          <w:color w:val="333333"/>
          <w:sz w:val="27"/>
          <w:szCs w:val="27"/>
          <w:shd w:val="clear" w:color="auto" w:fill="FFFFFF"/>
        </w:rPr>
        <w:t>2019</w:t>
      </w:r>
      <w:r>
        <w:rPr>
          <w:rFonts w:ascii="仿宋" w:eastAsia="仿宋" w:hAnsi="仿宋" w:cs="仿宋"/>
          <w:color w:val="333333"/>
          <w:sz w:val="27"/>
          <w:szCs w:val="27"/>
          <w:shd w:val="clear" w:color="auto" w:fill="FFFFFF"/>
        </w:rPr>
        <w:t>年</w:t>
      </w:r>
      <w:r>
        <w:rPr>
          <w:rFonts w:ascii="仿宋" w:eastAsia="仿宋" w:hAnsi="仿宋" w:cs="仿宋"/>
          <w:color w:val="333333"/>
          <w:sz w:val="27"/>
          <w:szCs w:val="27"/>
          <w:shd w:val="clear" w:color="auto" w:fill="FFFFFF"/>
        </w:rPr>
        <w:t>2</w:t>
      </w:r>
      <w:r>
        <w:rPr>
          <w:rFonts w:ascii="仿宋" w:eastAsia="仿宋" w:hAnsi="仿宋" w:cs="仿宋"/>
          <w:color w:val="333333"/>
          <w:sz w:val="27"/>
          <w:szCs w:val="27"/>
          <w:shd w:val="clear" w:color="auto" w:fill="FFFFFF"/>
        </w:rPr>
        <w:t>月</w:t>
      </w:r>
      <w:r>
        <w:rPr>
          <w:rFonts w:ascii="仿宋" w:eastAsia="仿宋" w:hAnsi="仿宋" w:cs="仿宋"/>
          <w:color w:val="333333"/>
          <w:sz w:val="27"/>
          <w:szCs w:val="27"/>
          <w:shd w:val="clear" w:color="auto" w:fill="FFFFFF"/>
        </w:rPr>
        <w:t>1</w:t>
      </w:r>
      <w:r>
        <w:rPr>
          <w:rFonts w:ascii="仿宋" w:eastAsia="仿宋" w:hAnsi="仿宋" w:cs="仿宋"/>
          <w:color w:val="333333"/>
          <w:sz w:val="27"/>
          <w:szCs w:val="27"/>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FF70C3" w:rsidRDefault="00FF70C3">
      <w:pPr>
        <w:rPr>
          <w:rFonts w:ascii="宋体" w:eastAsia="宋体" w:hAnsi="宋体" w:cs="宋体"/>
          <w:color w:val="333333"/>
          <w:sz w:val="36"/>
          <w:szCs w:val="36"/>
          <w:shd w:val="clear" w:color="auto" w:fill="FFFFFF"/>
        </w:rPr>
      </w:pPr>
    </w:p>
    <w:p w:rsidR="00FF70C3" w:rsidRDefault="002A6047">
      <w:pPr>
        <w:pStyle w:val="a6"/>
        <w:widowControl/>
        <w:shd w:val="clear" w:color="auto" w:fill="FFFFFF"/>
        <w:spacing w:beforeAutospacing="0" w:after="150" w:afterAutospacing="0" w:line="368" w:lineRule="atLeast"/>
        <w:jc w:val="center"/>
        <w:rPr>
          <w:rFonts w:ascii="微软雅黑" w:eastAsia="微软雅黑" w:hAnsi="微软雅黑" w:cs="微软雅黑"/>
          <w:color w:val="333333"/>
          <w:sz w:val="21"/>
          <w:szCs w:val="21"/>
        </w:rPr>
      </w:pPr>
      <w:r>
        <w:rPr>
          <w:rFonts w:ascii="黑体" w:eastAsia="黑体" w:hAnsi="宋体" w:cs="黑体"/>
          <w:color w:val="333333"/>
          <w:sz w:val="31"/>
          <w:szCs w:val="31"/>
          <w:shd w:val="clear" w:color="auto" w:fill="FFFFFF"/>
        </w:rPr>
        <w:t>第一章</w:t>
      </w:r>
      <w:r>
        <w:rPr>
          <w:rFonts w:ascii="黑体" w:eastAsia="黑体" w:hAnsi="宋体" w:cs="黑体"/>
          <w:color w:val="333333"/>
          <w:sz w:val="31"/>
          <w:szCs w:val="31"/>
          <w:shd w:val="clear" w:color="auto" w:fill="FFFFFF"/>
        </w:rPr>
        <w:t> </w:t>
      </w:r>
      <w:r>
        <w:rPr>
          <w:rFonts w:ascii="黑体" w:eastAsia="黑体" w:hAnsi="宋体" w:cs="黑体"/>
          <w:color w:val="333333"/>
          <w:sz w:val="31"/>
          <w:szCs w:val="31"/>
          <w:shd w:val="clear" w:color="auto" w:fill="FFFFFF"/>
        </w:rPr>
        <w:t xml:space="preserve"> </w:t>
      </w:r>
      <w:r>
        <w:rPr>
          <w:rFonts w:ascii="黑体" w:eastAsia="黑体" w:hAnsi="宋体" w:cs="黑体"/>
          <w:color w:val="333333"/>
          <w:sz w:val="31"/>
          <w:szCs w:val="31"/>
          <w:shd w:val="clear" w:color="auto" w:fill="FFFFFF"/>
        </w:rPr>
        <w:t>总</w:t>
      </w:r>
      <w:r>
        <w:rPr>
          <w:rFonts w:ascii="黑体" w:eastAsia="黑体" w:hAnsi="宋体" w:cs="黑体"/>
          <w:color w:val="333333"/>
          <w:sz w:val="31"/>
          <w:szCs w:val="31"/>
          <w:shd w:val="clear" w:color="auto" w:fill="FFFFFF"/>
        </w:rPr>
        <w:t> </w:t>
      </w:r>
      <w:r>
        <w:rPr>
          <w:rFonts w:ascii="黑体" w:eastAsia="黑体" w:hAnsi="宋体" w:cs="黑体"/>
          <w:color w:val="333333"/>
          <w:sz w:val="31"/>
          <w:szCs w:val="31"/>
          <w:shd w:val="clear" w:color="auto" w:fill="FFFFFF"/>
        </w:rPr>
        <w:t xml:space="preserve"> </w:t>
      </w:r>
      <w:r>
        <w:rPr>
          <w:rFonts w:ascii="黑体" w:eastAsia="黑体" w:hAnsi="宋体" w:cs="黑体"/>
          <w:color w:val="333333"/>
          <w:sz w:val="31"/>
          <w:szCs w:val="31"/>
          <w:shd w:val="clear" w:color="auto" w:fill="FFFFFF"/>
        </w:rPr>
        <w:t>则</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第一条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为了加强城市地下管线的规划管理，合理利用地下空间资源，保障地下管线有序建设和安全运行，根据《中华人民共和国城乡规划法》《山东省城乡规划条例》等法律法规，结合本市实际，制定本办法。</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 xml:space="preserve">　第二条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本市中心城区、县城（市区）、镇区城市地下管线的规划编制、审批、许可、验线、核实、归档等管理活动，适用本办法。</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第三条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本办法所称城市地下管线，是指建设于城市地下的供水、排水、燃气、热力、电力、通信、广播电视、工业等各种管线、综合管廊及相关的附属设施（以下简称地下管线）。</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军事、铁路专用地下管线规划管理按照有关法律法规执行。</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第四条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县（市）城乡规划主管部门负责城市地下管线的规划管理及其档案业务信息管理工作。</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市、县（市、区）、市属开发区城市管理主管部门负责城市地下管线公共资源经营的监管工作。</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市、县（市、区）、市属开发区具有城乡规划行政处罚权的部门负责对城市地下管线建设行为进行监督检查，并依法对</w:t>
      </w:r>
      <w:r>
        <w:rPr>
          <w:rFonts w:ascii="仿宋" w:eastAsia="仿宋" w:hAnsi="仿宋" w:cs="仿宋" w:hint="eastAsia"/>
          <w:color w:val="333333"/>
          <w:sz w:val="31"/>
          <w:szCs w:val="31"/>
          <w:shd w:val="clear" w:color="auto" w:fill="FFFFFF"/>
        </w:rPr>
        <w:t>违法建设行为实施行政处罚。</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第五条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城市地下管线权属单位应当加强对所属管线的管理，保障地下管线规划的严格实施。</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p>
    <w:p w:rsidR="00FF70C3" w:rsidRDefault="002A6047">
      <w:pPr>
        <w:pStyle w:val="a6"/>
        <w:widowControl/>
        <w:shd w:val="clear" w:color="auto" w:fill="FFFFFF"/>
        <w:spacing w:beforeAutospacing="0" w:after="150" w:afterAutospacing="0" w:line="368" w:lineRule="atLeast"/>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第二章</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规划编制和审批</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第六条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地下管线规划包括：</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（一）城市总体规划、控制性详细规划、修建性详细规划等城市规划中的地下管线规划；</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（二）市政专项规划中的地下管线规划；</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（三）城市道路规划中的地下管线规划；</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（四）专项工程中的地下管线规划；</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（五）城市综合管廊规划。</w:t>
      </w:r>
      <w:r>
        <w:rPr>
          <w:rFonts w:ascii="仿宋" w:eastAsia="仿宋" w:hAnsi="仿宋" w:cs="仿宋" w:hint="eastAsia"/>
          <w:color w:val="333333"/>
          <w:sz w:val="31"/>
          <w:szCs w:val="31"/>
          <w:shd w:val="clear" w:color="auto" w:fill="FFFFFF"/>
        </w:rPr>
        <w:t> </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第七条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城市总体规划中的地下管线规划由市、县</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市</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人民政府组织编制；城市控制性详细规划、重要地块的修建性详细规划等城市规划中的地下管线规划由市、县</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市</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城乡规划主管部门组织编制；市政专项规划中的地下管线规划、城市综合管廊规划由市、县</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市</w:t>
      </w:r>
      <w:r>
        <w:rPr>
          <w:rFonts w:ascii="仿宋" w:eastAsia="仿宋" w:hAnsi="仿宋" w:cs="仿宋" w:hint="eastAsia"/>
          <w:color w:val="333333"/>
          <w:sz w:val="31"/>
          <w:szCs w:val="31"/>
          <w:shd w:val="clear" w:color="auto" w:fill="FFFFFF"/>
        </w:rPr>
        <w:t>)</w:t>
      </w:r>
      <w:r>
        <w:rPr>
          <w:rFonts w:ascii="仿宋" w:eastAsia="仿宋" w:hAnsi="仿宋" w:cs="仿宋" w:hint="eastAsia"/>
          <w:color w:val="333333"/>
          <w:sz w:val="31"/>
          <w:szCs w:val="31"/>
          <w:shd w:val="clear" w:color="auto" w:fill="FFFFFF"/>
        </w:rPr>
        <w:t>行业管理部门会同城乡规划主管部门组织编制；其他地下管线规划由建设单位委托编制。</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第八条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统筹地下各类设施、管线布局，原则上不允许在中心城区规划新建生产经营性危险化学品输送管线，其他地区新建的危险化学品输送管线，不得在穿越其他管线等地下设施时形成密闭空间，且距离应满足标准规</w:t>
      </w:r>
      <w:r>
        <w:rPr>
          <w:rFonts w:ascii="仿宋" w:eastAsia="仿宋" w:hAnsi="仿宋" w:cs="仿宋" w:hint="eastAsia"/>
          <w:color w:val="333333"/>
          <w:sz w:val="31"/>
          <w:szCs w:val="31"/>
          <w:shd w:val="clear" w:color="auto" w:fill="FFFFFF"/>
        </w:rPr>
        <w:t>范要求。</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新建、改建、扩建地下管线过程中管线存在实际交叉的，应遵循有压力管道避让无压力管道原则。</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 xml:space="preserve">　第九条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城市总体规划、市政专项规划、控制性详细规划等城市规划中的地下管线规划，纳入各类城市规划审批内容。城市综合管廊规划由市、县（市）人民政府审批。</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地块修建性详细规划中的地下管线规划、城市道路规划中的地下管线综合规划及各种管线的修建性详细规划、专项工程中的地下管线规划由市、县（市）城乡规划主管部门审定。</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修改地下管线规划，应当符合法定情形，按照法定程序执行。</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第十条</w:t>
      </w:r>
      <w:r>
        <w:rPr>
          <w:rFonts w:ascii="黑体" w:eastAsia="黑体" w:hAnsi="宋体" w:cs="黑体"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地下管线修建性详细规划审定时，城乡规划主管部门可采取论证会、听证会、专家咨询会等方式征求专家或有关部门的意见。</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地下管线修建性详细规划审定后，城乡规划主管部门应当在规划展示场所和部门网站向社会公告，公告时间不得少于七日。法律法规规定不得公开的除外。</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p>
    <w:p w:rsidR="00FF70C3" w:rsidRDefault="002A6047">
      <w:pPr>
        <w:pStyle w:val="a6"/>
        <w:widowControl/>
        <w:shd w:val="clear" w:color="auto" w:fill="FFFFFF"/>
        <w:spacing w:beforeAutospacing="0" w:after="150" w:afterAutospacing="0" w:line="368" w:lineRule="atLeast"/>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第三章</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规划许可和变更</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第十一条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根据国家、省有关规定应当取得建设项目选址意见书的地下管线工程项目，建设单位应当持建设项目选址意见书申报表、标明拟选址位置的项目区位图和地形图等材料，向城乡规划主管部门申请核发建设项目选址意见书。</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省级以上</w:t>
      </w:r>
      <w:r>
        <w:rPr>
          <w:rFonts w:ascii="仿宋" w:eastAsia="仿宋" w:hAnsi="仿宋" w:cs="仿宋" w:hint="eastAsia"/>
          <w:color w:val="333333"/>
          <w:sz w:val="31"/>
          <w:szCs w:val="31"/>
          <w:shd w:val="clear" w:color="auto" w:fill="FFFFFF"/>
        </w:rPr>
        <w:t>政府的有关部门批准或者核准的地下管线工程，由县（市）城乡规划主管部门初审，市城乡规划主管部门审核，报省城乡规划主管部门核发建设项目选址意见书。</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市政府有关部门批准或者核准的地下管线工程，由县（市）城乡规划主管部门审核，报市城乡规划主管部门核发建设项目选址意见书。</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县（市）政府有关部门批准或者核准的地下管线工程，由县（市）城乡规划主管部门核发建设项目选址意见书。</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第十二条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新建、改建、扩建地下管线建设工程，建设单位持土地使用相关证明、修建性详细规划、市政工程设计方案等材料，向城乡规划主管部门</w:t>
      </w:r>
      <w:r>
        <w:rPr>
          <w:rFonts w:ascii="仿宋" w:eastAsia="仿宋" w:hAnsi="仿宋" w:cs="仿宋" w:hint="eastAsia"/>
          <w:color w:val="333333"/>
          <w:sz w:val="31"/>
          <w:szCs w:val="31"/>
          <w:shd w:val="clear" w:color="auto" w:fill="FFFFFF"/>
        </w:rPr>
        <w:t>提出建设工程规划许可申请，城乡规划主管部门对符合控制性详细规划和规划条件的，核发建设工程规划许可证。</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与道路、桥涵等建设项目同步建设的地下管线建设工程，应当与主体工程同步办理建设工程规划许可证。</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地下管线工程取得建设工程规划许可证后，方可办理施工许可证或道路刨掘手续。</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w:t>
      </w:r>
      <w:r>
        <w:rPr>
          <w:rFonts w:ascii="黑体" w:eastAsia="黑体" w:hAnsi="宋体" w:cs="黑体" w:hint="eastAsia"/>
          <w:color w:val="333333"/>
          <w:sz w:val="31"/>
          <w:szCs w:val="31"/>
          <w:shd w:val="clear" w:color="auto" w:fill="FFFFFF"/>
        </w:rPr>
        <w:t>第十三条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在办理建设工程规划许可证前，建设单位应与城市建设档案馆（室）签订《建设工程竣工档案移交合同书》，城市建设档案馆（室）应当将工程竣工后需移交的工程档案内容和要求告知建设单位。</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第十四条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建设单位应当按照规划许可证的</w:t>
      </w:r>
      <w:r>
        <w:rPr>
          <w:rFonts w:ascii="仿宋" w:eastAsia="仿宋" w:hAnsi="仿宋" w:cs="仿宋" w:hint="eastAsia"/>
          <w:color w:val="333333"/>
          <w:sz w:val="31"/>
          <w:szCs w:val="31"/>
          <w:shd w:val="clear" w:color="auto" w:fill="FFFFFF"/>
        </w:rPr>
        <w:t>规定进行建设，不得擅自变更；确需变更的，建设单位应当依法向城乡规划主管部门提交变更后的市政工程设计方案等材料，对符合控制性详细规划和规划条件的，按法定程序办理变更手续。</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    </w:t>
      </w:r>
    </w:p>
    <w:p w:rsidR="00FF70C3" w:rsidRDefault="002A6047">
      <w:pPr>
        <w:pStyle w:val="a6"/>
        <w:widowControl/>
        <w:shd w:val="clear" w:color="auto" w:fill="FFFFFF"/>
        <w:spacing w:beforeAutospacing="0" w:after="150" w:afterAutospacing="0" w:line="368" w:lineRule="atLeast"/>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第四章</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规划核实和归档</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第十五条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地下管线工程开挖前，建设单位应当向城乡规划主管部门提出验线申请，城乡规划主管部门委托具备相应条件的测绘单位进行验线，根据测绘单位出具的验线报告，符合规划许可要求的，核发建设工程验线确认书，建设单位方可开工。</w:t>
      </w:r>
    </w:p>
    <w:p w:rsidR="00FF70C3" w:rsidRDefault="002A6047">
      <w:pPr>
        <w:pStyle w:val="a6"/>
        <w:widowControl/>
        <w:shd w:val="clear" w:color="auto" w:fill="FFFFFF"/>
        <w:spacing w:beforeAutospacing="0" w:after="150" w:afterAutospacing="0" w:line="368" w:lineRule="atLeast"/>
        <w:ind w:firstLine="420"/>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第十六条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地下管线工程覆土前，城乡规划主管部门应当委托具备相应条件的测绘单位对该工程进行竣工规划勘验，并出具竣</w:t>
      </w:r>
      <w:r>
        <w:rPr>
          <w:rFonts w:ascii="仿宋" w:eastAsia="仿宋" w:hAnsi="仿宋" w:cs="仿宋" w:hint="eastAsia"/>
          <w:color w:val="333333"/>
          <w:sz w:val="31"/>
          <w:szCs w:val="31"/>
          <w:shd w:val="clear" w:color="auto" w:fill="FFFFFF"/>
        </w:rPr>
        <w:lastRenderedPageBreak/>
        <w:t>工勘验测绘报告；城乡规划主管部门对经审核符合规划许可内容的，核发建设工程竣工规划核实合格证。</w:t>
      </w:r>
    </w:p>
    <w:p w:rsidR="00FF70C3" w:rsidRDefault="002A6047">
      <w:pPr>
        <w:pStyle w:val="a6"/>
        <w:widowControl/>
        <w:shd w:val="clear" w:color="auto" w:fill="FFFFFF"/>
        <w:spacing w:beforeAutospacing="0" w:after="150" w:afterAutospacing="0" w:line="368" w:lineRule="atLeast"/>
        <w:ind w:firstLine="420"/>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第十七条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管线建设单位应在新建、改建、扩建的地下管线工程竣工验收备案前，按照有关规定向城建档案馆（室）移交建设工程档案资料及其电子文件。</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地下管线工程勘测、设计、施工、监理单位应当配合建设单位收集、整理地下管线工程竣工档案。</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第十八条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城建档案馆（室）应当加强地下管线信息管理，建立地下管线综合管理信</w:t>
      </w:r>
      <w:r>
        <w:rPr>
          <w:rFonts w:ascii="仿宋" w:eastAsia="仿宋" w:hAnsi="仿宋" w:cs="仿宋" w:hint="eastAsia"/>
          <w:color w:val="333333"/>
          <w:sz w:val="31"/>
          <w:szCs w:val="31"/>
          <w:shd w:val="clear" w:color="auto" w:fill="FFFFFF"/>
        </w:rPr>
        <w:t>息系统，进行维护、更新和动态管理，并实行资源共享。</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地下管线产权、管护单位应当建立专业管线管理信息系统，及时存储、动态更新本单位地下管线信息。</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第十九条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城乡规划主管部门应当明确地下管线竣工测绘成果的数据要求，并采用定期补测补绘的方式及时更新地下管线数据。</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地下管线产权单位应采用竣工测绘的方式更新数据，及时向城建档案馆（室）报送，并对管线信息数据的准确性、完整性、时效性负责。</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w:t>
      </w:r>
      <w:r>
        <w:rPr>
          <w:rFonts w:ascii="黑体" w:eastAsia="黑体" w:hAnsi="宋体" w:cs="黑体" w:hint="eastAsia"/>
          <w:color w:val="333333"/>
          <w:sz w:val="31"/>
          <w:szCs w:val="31"/>
          <w:shd w:val="clear" w:color="auto" w:fill="FFFFFF"/>
        </w:rPr>
        <w:t>第二十条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新建、改建、扩建居住区、公共服务设施、商业服务业设施、工业区、物流仓储区、道路交通设施、公用设施、绿地广场等建设工程时，建设单位应到城建档案馆（室）获取该地段地下管线现状资料。地下管线现状资料不明或者不齐全的区域，建设单位应当委托具备相应条件的测绘单位进行探测，查明地下管线现状情况，并将探测结果及时报送城建档案馆（室）。</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第二十一条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城建档案馆（室）应当建立地下管线工程档案资料管理制度，依法做好档案的开发利用和保密工作。</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公民、法人和其他组织查阅、利用管线信息，应当遵守国家有关保密规定，并办理</w:t>
      </w:r>
      <w:r>
        <w:rPr>
          <w:rFonts w:ascii="仿宋" w:eastAsia="仿宋" w:hAnsi="仿宋" w:cs="仿宋" w:hint="eastAsia"/>
          <w:color w:val="333333"/>
          <w:sz w:val="31"/>
          <w:szCs w:val="31"/>
          <w:shd w:val="clear" w:color="auto" w:fill="FFFFFF"/>
        </w:rPr>
        <w:t>相关手续。</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p>
    <w:p w:rsidR="00FF70C3" w:rsidRDefault="002A6047">
      <w:pPr>
        <w:pStyle w:val="a6"/>
        <w:widowControl/>
        <w:shd w:val="clear" w:color="auto" w:fill="FFFFFF"/>
        <w:spacing w:beforeAutospacing="0" w:after="150" w:afterAutospacing="0" w:line="368" w:lineRule="atLeast"/>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第五章</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法律责任</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第二十二条</w:t>
      </w:r>
      <w:r>
        <w:rPr>
          <w:rFonts w:ascii="仿宋" w:eastAsia="仿宋" w:hAnsi="仿宋" w:cs="仿宋" w:hint="eastAsia"/>
          <w:color w:val="333333"/>
          <w:sz w:val="31"/>
          <w:szCs w:val="31"/>
          <w:shd w:val="clear" w:color="auto" w:fill="FFFFFF"/>
        </w:rPr>
        <w:t xml:space="preserve">  </w:t>
      </w:r>
      <w:r>
        <w:rPr>
          <w:rFonts w:ascii="仿宋" w:eastAsia="仿宋" w:hAnsi="仿宋" w:cs="仿宋" w:hint="eastAsia"/>
          <w:color w:val="333333"/>
          <w:sz w:val="31"/>
          <w:szCs w:val="31"/>
          <w:shd w:val="clear" w:color="auto" w:fill="FFFFFF"/>
        </w:rPr>
        <w:t>违反本办法第十二条的规定，地下管线建设单位未取得建设工程规划许可证或者未按照建设工程规划许可证的规定进行建设的，由具有城乡规划行政处罚权的部门依照《中华人民共和国城乡规划法》予以查处。</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w:t>
      </w:r>
      <w:r>
        <w:rPr>
          <w:rFonts w:ascii="黑体" w:eastAsia="黑体" w:hAnsi="宋体" w:cs="黑体" w:hint="eastAsia"/>
          <w:color w:val="333333"/>
          <w:sz w:val="31"/>
          <w:szCs w:val="31"/>
          <w:shd w:val="clear" w:color="auto" w:fill="FFFFFF"/>
        </w:rPr>
        <w:t>第二十三条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违反本办法第十五条的规定，地下管线建设单位未取得验线确认书擅自开工建设的，由具有城乡规划行政处罚权的部门责令停止建设，限期改正；逾期不改正的，处一万元以上三万元以下的罚款。</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第二十四条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违反本办法第十七条的规定，地下管线工程竣工验收备案前，建设</w:t>
      </w:r>
      <w:r>
        <w:rPr>
          <w:rFonts w:ascii="仿宋" w:eastAsia="仿宋" w:hAnsi="仿宋" w:cs="仿宋" w:hint="eastAsia"/>
          <w:color w:val="333333"/>
          <w:sz w:val="31"/>
          <w:szCs w:val="31"/>
          <w:shd w:val="clear" w:color="auto" w:fill="FFFFFF"/>
        </w:rPr>
        <w:t>单位未按照规定向城建档案馆（室）移交建设工程档案的，由城建档案主管部门责令限期改正，情节严重的依法给予行政处罚。</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第二十五条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违反本办法第十九条的规定，地下管线产权单位未向城建档案馆（室）报送管线信息数据或者报送的数据不准确，导致其他单位在施工中损毁地下管线的，地下管线产权单位应当依法承担相应的法律责任。</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第二十六条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有关部门违反本办法及相关法律法规的规定，对未依法取得建设工程规划许可证的地下管线工程核发施工许可证或道路刨掘手续，由本级人民政府依法责令改正，通报批评；对直接负责的主管人员和其他直</w:t>
      </w:r>
      <w:r>
        <w:rPr>
          <w:rFonts w:ascii="仿宋" w:eastAsia="仿宋" w:hAnsi="仿宋" w:cs="仿宋" w:hint="eastAsia"/>
          <w:color w:val="333333"/>
          <w:sz w:val="31"/>
          <w:szCs w:val="31"/>
          <w:shd w:val="clear" w:color="auto" w:fill="FFFFFF"/>
        </w:rPr>
        <w:t>接责任人员依法给予处分。</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lastRenderedPageBreak/>
        <w:t xml:space="preserve">　　地下管线相关管理部门的工作人员违反本办法规定，玩忽职守、滥用职权、徇私舞弊的，依</w:t>
      </w:r>
      <w:proofErr w:type="gramStart"/>
      <w:r>
        <w:rPr>
          <w:rFonts w:ascii="仿宋" w:eastAsia="仿宋" w:hAnsi="仿宋" w:cs="仿宋" w:hint="eastAsia"/>
          <w:color w:val="333333"/>
          <w:sz w:val="31"/>
          <w:szCs w:val="31"/>
          <w:shd w:val="clear" w:color="auto" w:fill="FFFFFF"/>
        </w:rPr>
        <w:t>纪给予</w:t>
      </w:r>
      <w:proofErr w:type="gramEnd"/>
      <w:r>
        <w:rPr>
          <w:rFonts w:ascii="仿宋" w:eastAsia="仿宋" w:hAnsi="仿宋" w:cs="仿宋" w:hint="eastAsia"/>
          <w:color w:val="333333"/>
          <w:sz w:val="31"/>
          <w:szCs w:val="31"/>
          <w:shd w:val="clear" w:color="auto" w:fill="FFFFFF"/>
        </w:rPr>
        <w:t>处分；构成犯罪的，依法追究刑事责任。</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jc w:val="center"/>
        <w:rPr>
          <w:rFonts w:ascii="微软雅黑" w:eastAsia="微软雅黑" w:hAnsi="微软雅黑" w:cs="微软雅黑"/>
          <w:color w:val="333333"/>
          <w:sz w:val="21"/>
          <w:szCs w:val="21"/>
        </w:rPr>
      </w:pPr>
      <w:r>
        <w:rPr>
          <w:rFonts w:ascii="黑体" w:eastAsia="黑体" w:hAnsi="宋体" w:cs="黑体" w:hint="eastAsia"/>
          <w:color w:val="333333"/>
          <w:sz w:val="31"/>
          <w:szCs w:val="31"/>
          <w:shd w:val="clear" w:color="auto" w:fill="FFFFFF"/>
        </w:rPr>
        <w:t>第六章</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附</w:t>
      </w:r>
      <w:r>
        <w:rPr>
          <w:rFonts w:ascii="黑体" w:eastAsia="黑体" w:hAnsi="宋体" w:cs="黑体" w:hint="eastAsia"/>
          <w:color w:val="333333"/>
          <w:sz w:val="31"/>
          <w:szCs w:val="31"/>
          <w:shd w:val="clear" w:color="auto" w:fill="FFFFFF"/>
        </w:rPr>
        <w:t> </w:t>
      </w:r>
      <w:r>
        <w:rPr>
          <w:rFonts w:ascii="黑体" w:eastAsia="黑体" w:hAnsi="宋体" w:cs="黑体" w:hint="eastAsia"/>
          <w:color w:val="333333"/>
          <w:sz w:val="31"/>
          <w:szCs w:val="31"/>
          <w:shd w:val="clear" w:color="auto" w:fill="FFFFFF"/>
        </w:rPr>
        <w:t xml:space="preserve"> </w:t>
      </w:r>
      <w:r>
        <w:rPr>
          <w:rFonts w:ascii="黑体" w:eastAsia="黑体" w:hAnsi="宋体" w:cs="黑体" w:hint="eastAsia"/>
          <w:color w:val="333333"/>
          <w:sz w:val="31"/>
          <w:szCs w:val="31"/>
          <w:shd w:val="clear" w:color="auto" w:fill="FFFFFF"/>
        </w:rPr>
        <w:t>则</w:t>
      </w:r>
    </w:p>
    <w:p w:rsidR="00FF70C3" w:rsidRDefault="00FF70C3">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r>
        <w:rPr>
          <w:rFonts w:ascii="黑体" w:eastAsia="黑体" w:hAnsi="宋体" w:cs="黑体" w:hint="eastAsia"/>
          <w:color w:val="333333"/>
          <w:sz w:val="31"/>
          <w:szCs w:val="31"/>
          <w:shd w:val="clear" w:color="auto" w:fill="FFFFFF"/>
        </w:rPr>
        <w:t>第二十七条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乡村地下管线规划管理可参照本办法执行。</w:t>
      </w:r>
    </w:p>
    <w:p w:rsidR="00FF70C3" w:rsidRDefault="002A6047">
      <w:pPr>
        <w:pStyle w:val="a6"/>
        <w:widowControl/>
        <w:shd w:val="clear" w:color="auto" w:fill="FFFFFF"/>
        <w:spacing w:beforeAutospacing="0" w:after="150" w:afterAutospacing="0" w:line="368" w:lineRule="atLeast"/>
        <w:rPr>
          <w:rFonts w:ascii="微软雅黑" w:eastAsia="微软雅黑" w:hAnsi="微软雅黑" w:cs="微软雅黑"/>
          <w:color w:val="333333"/>
          <w:sz w:val="21"/>
          <w:szCs w:val="21"/>
        </w:rPr>
      </w:pPr>
      <w:r>
        <w:rPr>
          <w:rFonts w:ascii="仿宋" w:eastAsia="仿宋" w:hAnsi="仿宋" w:cs="仿宋" w:hint="eastAsia"/>
          <w:color w:val="333333"/>
          <w:sz w:val="31"/>
          <w:szCs w:val="31"/>
          <w:shd w:val="clear" w:color="auto" w:fill="FFFFFF"/>
        </w:rPr>
        <w:t>  </w:t>
      </w:r>
      <w:r>
        <w:rPr>
          <w:rFonts w:ascii="黑体" w:eastAsia="黑体" w:hAnsi="宋体" w:cs="黑体" w:hint="eastAsia"/>
          <w:color w:val="333333"/>
          <w:sz w:val="31"/>
          <w:szCs w:val="31"/>
          <w:shd w:val="clear" w:color="auto" w:fill="FFFFFF"/>
        </w:rPr>
        <w:t>第二十八条</w:t>
      </w:r>
      <w:r>
        <w:rPr>
          <w:rFonts w:ascii="仿宋" w:eastAsia="仿宋" w:hAnsi="仿宋" w:cs="仿宋" w:hint="eastAsia"/>
          <w:color w:val="333333"/>
          <w:sz w:val="31"/>
          <w:szCs w:val="31"/>
          <w:shd w:val="clear" w:color="auto" w:fill="FFFFFF"/>
        </w:rPr>
        <w:t>  </w:t>
      </w:r>
      <w:r>
        <w:rPr>
          <w:rFonts w:ascii="仿宋" w:eastAsia="仿宋" w:hAnsi="仿宋" w:cs="仿宋" w:hint="eastAsia"/>
          <w:color w:val="333333"/>
          <w:sz w:val="31"/>
          <w:szCs w:val="31"/>
          <w:shd w:val="clear" w:color="auto" w:fill="FFFFFF"/>
        </w:rPr>
        <w:t>本办法自</w:t>
      </w:r>
      <w:r>
        <w:rPr>
          <w:rFonts w:ascii="仿宋" w:eastAsia="仿宋" w:hAnsi="仿宋" w:cs="仿宋" w:hint="eastAsia"/>
          <w:color w:val="333333"/>
          <w:sz w:val="31"/>
          <w:szCs w:val="31"/>
          <w:shd w:val="clear" w:color="auto" w:fill="FFFFFF"/>
        </w:rPr>
        <w:t>2019</w:t>
      </w:r>
      <w:r>
        <w:rPr>
          <w:rFonts w:ascii="仿宋" w:eastAsia="仿宋" w:hAnsi="仿宋" w:cs="仿宋" w:hint="eastAsia"/>
          <w:color w:val="333333"/>
          <w:sz w:val="31"/>
          <w:szCs w:val="31"/>
          <w:shd w:val="clear" w:color="auto" w:fill="FFFFFF"/>
        </w:rPr>
        <w:t>年</w:t>
      </w:r>
      <w:r>
        <w:rPr>
          <w:rFonts w:ascii="仿宋" w:eastAsia="仿宋" w:hAnsi="仿宋" w:cs="仿宋" w:hint="eastAsia"/>
          <w:color w:val="333333"/>
          <w:sz w:val="31"/>
          <w:szCs w:val="31"/>
          <w:shd w:val="clear" w:color="auto" w:fill="FFFFFF"/>
        </w:rPr>
        <w:t>2</w:t>
      </w:r>
      <w:r>
        <w:rPr>
          <w:rFonts w:ascii="仿宋" w:eastAsia="仿宋" w:hAnsi="仿宋" w:cs="仿宋" w:hint="eastAsia"/>
          <w:color w:val="333333"/>
          <w:sz w:val="31"/>
          <w:szCs w:val="31"/>
          <w:shd w:val="clear" w:color="auto" w:fill="FFFFFF"/>
        </w:rPr>
        <w:t>月</w:t>
      </w:r>
      <w:r>
        <w:rPr>
          <w:rFonts w:ascii="仿宋" w:eastAsia="仿宋" w:hAnsi="仿宋" w:cs="仿宋" w:hint="eastAsia"/>
          <w:color w:val="333333"/>
          <w:sz w:val="31"/>
          <w:szCs w:val="31"/>
          <w:shd w:val="clear" w:color="auto" w:fill="FFFFFF"/>
        </w:rPr>
        <w:t>1</w:t>
      </w:r>
      <w:r>
        <w:rPr>
          <w:rFonts w:ascii="仿宋" w:eastAsia="仿宋" w:hAnsi="仿宋" w:cs="仿宋" w:hint="eastAsia"/>
          <w:color w:val="333333"/>
          <w:sz w:val="31"/>
          <w:szCs w:val="31"/>
          <w:shd w:val="clear" w:color="auto" w:fill="FFFFFF"/>
        </w:rPr>
        <w:t>日起施行。</w:t>
      </w:r>
    </w:p>
    <w:p w:rsidR="00FF70C3" w:rsidRDefault="00FF70C3">
      <w:pPr>
        <w:ind w:firstLineChars="200" w:firstLine="640"/>
        <w:rPr>
          <w:rFonts w:ascii="仿宋_GB2312" w:eastAsia="仿宋_GB2312" w:hAnsi="仿宋_GB2312" w:cs="仿宋_GB2312"/>
          <w:color w:val="333333"/>
          <w:sz w:val="32"/>
          <w:szCs w:val="32"/>
          <w:shd w:val="clear" w:color="auto" w:fill="FFFFFF"/>
        </w:rPr>
      </w:pPr>
    </w:p>
    <w:sectPr w:rsidR="00FF70C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047" w:rsidRDefault="002A6047">
      <w:r>
        <w:separator/>
      </w:r>
    </w:p>
  </w:endnote>
  <w:endnote w:type="continuationSeparator" w:id="0">
    <w:p w:rsidR="002A6047" w:rsidRDefault="002A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C3" w:rsidRDefault="002A604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70C3" w:rsidRDefault="002A60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xml:space="preserve">- </w:t>
                          </w:r>
                          <w:r>
                            <w:rPr>
                              <w:rFonts w:ascii="宋体" w:eastAsia="宋体" w:hAnsi="宋体" w:cs="宋体" w:hint="eastAsia"/>
                              <w:sz w:val="28"/>
                              <w:szCs w:val="28"/>
                            </w:rPr>
                            <w:t>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F70C3" w:rsidRDefault="002A60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xml:space="preserve">- </w:t>
                    </w:r>
                    <w:r>
                      <w:rPr>
                        <w:rFonts w:ascii="宋体" w:eastAsia="宋体" w:hAnsi="宋体" w:cs="宋体" w:hint="eastAsia"/>
                        <w:sz w:val="28"/>
                        <w:szCs w:val="28"/>
                      </w:rPr>
                      <w:t>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F70C3" w:rsidRDefault="002A6047">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B784D"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聊城市人民政府发布</w:t>
    </w:r>
    <w:r>
      <w:rPr>
        <w:rFonts w:ascii="宋体" w:eastAsia="宋体" w:hAnsi="宋体" w:cs="宋体" w:hint="eastAsia"/>
        <w:b/>
        <w:bCs/>
        <w:color w:val="005192"/>
        <w:sz w:val="28"/>
        <w:szCs w:val="44"/>
      </w:rPr>
      <w:t xml:space="preserve">     </w:t>
    </w:r>
  </w:p>
  <w:p w:rsidR="00FF70C3" w:rsidRDefault="00FF70C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047" w:rsidRDefault="002A6047">
      <w:r>
        <w:separator/>
      </w:r>
    </w:p>
  </w:footnote>
  <w:footnote w:type="continuationSeparator" w:id="0">
    <w:p w:rsidR="002A6047" w:rsidRDefault="002A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0C3" w:rsidRDefault="002A6047">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5991B"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FF70C3" w:rsidRDefault="002A6047">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聊城市人民政府规章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A6047"/>
    <w:rsid w:val="00941F20"/>
    <w:rsid w:val="00FF70C3"/>
    <w:rsid w:val="019E71BD"/>
    <w:rsid w:val="04B679C3"/>
    <w:rsid w:val="080F63D8"/>
    <w:rsid w:val="09341458"/>
    <w:rsid w:val="0B0912D7"/>
    <w:rsid w:val="152D2DCA"/>
    <w:rsid w:val="16BD06D3"/>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37C7031"/>
    <w:rsid w:val="7C4D17F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42923"/>
  <w15:docId w15:val="{C4A5B081-348F-413D-906D-637808B1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楚圣乐</cp:lastModifiedBy>
  <cp:revision>2</cp:revision>
  <cp:lastPrinted>2021-10-26T11:30:00Z</cp:lastPrinted>
  <dcterms:created xsi:type="dcterms:W3CDTF">2022-12-14T09:21:00Z</dcterms:created>
  <dcterms:modified xsi:type="dcterms:W3CDTF">2022-12-14T09:21:00Z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